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jc w:val="center"/>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lang w:eastAsia="zh-CN"/>
        </w:rPr>
        <w:t>宜春市供销合作社</w:t>
      </w:r>
      <w:r>
        <w:rPr>
          <w:rFonts w:hint="eastAsia" w:ascii="方正小标宋简体" w:hAnsi="方正小标宋简体" w:eastAsia="方正小标宋简体" w:cs="方正小标宋简体"/>
          <w:b w:val="0"/>
          <w:bCs w:val="0"/>
          <w:color w:val="000000"/>
          <w:sz w:val="44"/>
          <w:szCs w:val="44"/>
          <w:lang w:val="en-US" w:eastAsia="zh-CN"/>
        </w:rPr>
        <w:t>2019年</w:t>
      </w:r>
      <w:r>
        <w:rPr>
          <w:rFonts w:hint="eastAsia" w:ascii="方正小标宋简体" w:hAnsi="方正小标宋简体" w:eastAsia="方正小标宋简体" w:cs="方正小标宋简体"/>
          <w:b w:val="0"/>
          <w:bCs w:val="0"/>
          <w:color w:val="000000"/>
          <w:sz w:val="44"/>
          <w:szCs w:val="44"/>
        </w:rPr>
        <w:t>政府信息公开</w:t>
      </w:r>
    </w:p>
    <w:p>
      <w:pPr>
        <w:adjustRightInd/>
        <w:snapToGrid/>
        <w:spacing w:after="0"/>
        <w:jc w:val="center"/>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工作年度报告</w:t>
      </w:r>
    </w:p>
    <w:p>
      <w:pPr>
        <w:adjustRightInd/>
        <w:snapToGrid/>
        <w:spacing w:after="0"/>
        <w:ind w:firstLine="480"/>
        <w:jc w:val="both"/>
        <w:rPr>
          <w:rFonts w:ascii="宋体" w:hAnsi="宋体" w:eastAsia="宋体" w:cs="宋体"/>
          <w:color w:val="000000"/>
          <w:sz w:val="24"/>
          <w:szCs w:val="24"/>
        </w:rPr>
      </w:pPr>
      <w:bookmarkStart w:id="0" w:name="_GoBack"/>
    </w:p>
    <w:p>
      <w:pPr>
        <w:adjustRightInd/>
        <w:snapToGrid/>
        <w:spacing w:after="0"/>
        <w:ind w:firstLine="480"/>
        <w:jc w:val="both"/>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一、总体情况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2019年，宜春市供销合作社</w:t>
      </w:r>
      <w:r>
        <w:rPr>
          <w:rFonts w:hint="eastAsia" w:ascii="仿宋_GB2312" w:hAnsi="仿宋_GB2312" w:eastAsia="仿宋_GB2312" w:cs="仿宋_GB2312"/>
          <w:sz w:val="32"/>
          <w:szCs w:val="32"/>
          <w:lang w:eastAsia="zh-CN"/>
        </w:rPr>
        <w:t>根据《中华人民共和国政府信息公开条例》(国务院令第492号)有关规定和《国务院办公厅关于加强和规范政府信息公开情况统计报送工作的通知》（国办发〔2014〕32号）等文件精神，宜春市供销合作社根据实际情况制作了</w:t>
      </w:r>
      <w:r>
        <w:rPr>
          <w:rFonts w:hint="eastAsia" w:ascii="仿宋_GB2312" w:hAnsi="仿宋_GB2312" w:eastAsia="仿宋_GB2312" w:cs="仿宋_GB2312"/>
          <w:sz w:val="32"/>
          <w:szCs w:val="32"/>
          <w:lang w:val="en-US" w:eastAsia="zh-CN"/>
        </w:rPr>
        <w:t>2019年政府信息公开工作年度报告。</w:t>
      </w:r>
      <w:r>
        <w:rPr>
          <w:rFonts w:hint="eastAsia" w:ascii="仿宋_GB2312" w:hAnsi="仿宋_GB2312" w:eastAsia="仿宋_GB2312" w:cs="仿宋_GB2312"/>
          <w:sz w:val="32"/>
          <w:szCs w:val="32"/>
          <w:lang w:eastAsia="zh-CN"/>
        </w:rPr>
        <w:t>全文包括总体情况、主动公开政府信息情况、收到和处理政府信息公开申请情况、政府信息公开行政复议及行政诉讼情况、存在的主要问题及改进情况、其他需要报告的事项。统计时限为2019年1月1日—2019年12月31日。年报电子版全文在宜春市供销合作社门户网站和宜春市政府门户网站政府信息公开平台公开。如对本年报有任何疑问，请与宜春市供销合作社秘书科联系，地址：宜春市宜阳新区宜阳大厦中座1130室，联系电话：079</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3272028</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（一）切实强化组织领导。</w:t>
      </w:r>
      <w:r>
        <w:rPr>
          <w:rFonts w:hint="eastAsia" w:ascii="仿宋_GB2312" w:hAnsi="仿宋_GB2312" w:eastAsia="仿宋_GB2312" w:cs="仿宋_GB2312"/>
          <w:sz w:val="32"/>
          <w:szCs w:val="32"/>
          <w:lang w:eastAsia="zh-CN"/>
        </w:rPr>
        <w:t>市供销社根据领导班子分工情况，及时调整了政务信息公开工作领导小组成员，进一步明确了责任分工，明确分管领导，明确了政务信息公开工作由秘书科负责，落实责任到人，切实压实压紧了工作责任。认真学习贯彻《2019年江西省政务公开工作要点》、《宜春市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年政务公开工作要点》等文件精神,围绕提升政务信息公开水平工作，加强与各科室沟通协调，建立和完善联动机制，抓好工作动态宣传、网站建设等工作。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（二）着力推动信息公开规范化。</w:t>
      </w:r>
      <w:r>
        <w:rPr>
          <w:rFonts w:hint="eastAsia" w:ascii="仿宋_GB2312" w:hAnsi="仿宋_GB2312" w:eastAsia="仿宋_GB2312" w:cs="仿宋_GB2312"/>
          <w:sz w:val="32"/>
          <w:szCs w:val="32"/>
          <w:lang w:eastAsia="zh-CN"/>
        </w:rPr>
        <w:t>根据信息公开工作实际，制定和落实“三审三校”制度，规范信息公开流程：</w:t>
      </w:r>
      <w:r>
        <w:rPr>
          <w:rFonts w:hint="eastAsia" w:ascii="仿宋_GB2312" w:hAnsi="仿宋_GB2312" w:eastAsia="仿宋_GB2312" w:cs="仿宋_GB2312"/>
          <w:sz w:val="32"/>
          <w:szCs w:val="32"/>
          <w:lang w:val="en-US" w:eastAsia="zh-CN"/>
        </w:rPr>
        <w:t>负责人员一审，科室负责人二审，单位分管领导三审；负责人员一校，科室负责人二校，单位分管领导三校。</w:t>
      </w:r>
      <w:r>
        <w:rPr>
          <w:rFonts w:hint="eastAsia" w:ascii="仿宋_GB2312" w:hAnsi="仿宋_GB2312" w:eastAsia="仿宋_GB2312" w:cs="仿宋_GB2312"/>
          <w:sz w:val="32"/>
          <w:szCs w:val="32"/>
        </w:rPr>
        <w:t>各科室开展的工作、活动信息，由各科室组织撰写文稿，科室负责人对需要发布上传的稿件进行审核，并经信息分管领导同意后方可发布</w:t>
      </w:r>
      <w:r>
        <w:rPr>
          <w:rFonts w:hint="eastAsia" w:ascii="仿宋_GB2312" w:hAnsi="仿宋_GB2312" w:eastAsia="仿宋_GB2312" w:cs="仿宋_GB2312"/>
          <w:sz w:val="32"/>
          <w:szCs w:val="32"/>
          <w:lang w:eastAsia="zh-CN"/>
        </w:rPr>
        <w:t>，把好政治关、政策关、文字关，</w:t>
      </w:r>
      <w:r>
        <w:rPr>
          <w:rFonts w:hint="eastAsia" w:ascii="仿宋_GB2312" w:hAnsi="仿宋_GB2312" w:eastAsia="仿宋_GB2312" w:cs="仿宋_GB2312"/>
          <w:sz w:val="32"/>
          <w:szCs w:val="32"/>
        </w:rPr>
        <w:t>准确及时地反映</w:t>
      </w:r>
      <w:r>
        <w:rPr>
          <w:rFonts w:hint="eastAsia" w:ascii="仿宋_GB2312" w:hAnsi="仿宋_GB2312" w:eastAsia="仿宋_GB2312" w:cs="仿宋_GB2312"/>
          <w:sz w:val="32"/>
          <w:szCs w:val="32"/>
          <w:lang w:eastAsia="zh-CN"/>
        </w:rPr>
        <w:t>我社</w:t>
      </w:r>
      <w:r>
        <w:rPr>
          <w:rFonts w:hint="eastAsia" w:ascii="仿宋_GB2312" w:hAnsi="仿宋_GB2312" w:eastAsia="仿宋_GB2312" w:cs="仿宋_GB2312"/>
          <w:sz w:val="32"/>
          <w:szCs w:val="32"/>
        </w:rPr>
        <w:t>各项工作最新动态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2019年，市供销社</w:t>
      </w:r>
      <w:r>
        <w:rPr>
          <w:rFonts w:hint="eastAsia" w:ascii="仿宋_GB2312" w:hAnsi="仿宋_GB2312" w:eastAsia="仿宋_GB2312" w:cs="仿宋_GB2312"/>
          <w:sz w:val="32"/>
          <w:szCs w:val="32"/>
          <w:lang w:eastAsia="zh-CN"/>
        </w:rPr>
        <w:t>未收到依申请公开政府信息，依申请公开政府信息条数0条。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eastAsia="zh-CN"/>
        </w:rPr>
        <w:t>（三）积极做好网站建设。</w:t>
      </w:r>
      <w:r>
        <w:rPr>
          <w:rFonts w:hint="eastAsia" w:ascii="仿宋_GB2312" w:hAnsi="仿宋_GB2312" w:eastAsia="仿宋_GB2312" w:cs="仿宋_GB2312"/>
          <w:sz w:val="32"/>
          <w:szCs w:val="32"/>
          <w:lang w:eastAsia="zh-CN"/>
        </w:rPr>
        <w:t>按照有关规定要求，推动门户网站及信息公开平台建设，工作动态、政务信息等及时进行公开。将网站内容更新工作纳入年度科室考核中，围绕推动乡村振兴、深化供销合作社综合改革等工作，积极推动网站内容丰富化和规范化，通过网站发布、转载各类信息共</w:t>
      </w:r>
      <w:r>
        <w:rPr>
          <w:rFonts w:hint="eastAsia" w:ascii="仿宋_GB2312" w:hAnsi="仿宋_GB2312" w:eastAsia="仿宋_GB2312" w:cs="仿宋_GB2312"/>
          <w:sz w:val="32"/>
          <w:szCs w:val="32"/>
          <w:lang w:val="en-US" w:eastAsia="zh-CN"/>
        </w:rPr>
        <w:t>319条。</w:t>
      </w:r>
    </w:p>
    <w:p>
      <w:pPr>
        <w:adjustRightInd/>
        <w:snapToGrid/>
        <w:spacing w:after="0"/>
        <w:ind w:firstLine="480"/>
        <w:jc w:val="both"/>
        <w:rPr>
          <w:rFonts w:ascii="宋体" w:hAnsi="宋体" w:eastAsia="宋体" w:cs="宋体"/>
          <w:color w:val="000000"/>
          <w:sz w:val="24"/>
          <w:szCs w:val="24"/>
        </w:rPr>
      </w:pPr>
      <w:r>
        <w:rPr>
          <w:rFonts w:hint="eastAsia" w:ascii="黑体" w:hAnsi="黑体" w:eastAsia="黑体" w:cs="黑体"/>
          <w:b w:val="0"/>
          <w:bCs w:val="0"/>
          <w:color w:val="000000"/>
          <w:sz w:val="32"/>
          <w:szCs w:val="32"/>
        </w:rPr>
        <w:t>二、主动公开政府信息情况</w:t>
      </w:r>
      <w:r>
        <w:rPr>
          <w:rFonts w:hint="eastAsia" w:ascii="宋体" w:hAnsi="宋体" w:eastAsia="宋体" w:cs="宋体"/>
          <w:b/>
          <w:bCs/>
          <w:color w:val="000000"/>
          <w:sz w:val="24"/>
          <w:szCs w:val="24"/>
        </w:rPr>
        <w:br w:type="textWrapping"/>
      </w:r>
      <w:r>
        <w:rPr>
          <w:rFonts w:hint="eastAsia" w:ascii="宋体" w:hAnsi="宋体" w:eastAsia="宋体" w:cs="宋体"/>
          <w:b/>
          <w:bCs/>
          <w:color w:val="000000"/>
          <w:sz w:val="24"/>
          <w:szCs w:val="24"/>
        </w:rPr>
        <w:br w:type="textWrapping"/>
      </w:r>
    </w:p>
    <w:tbl>
      <w:tblPr>
        <w:tblStyle w:val="3"/>
        <w:tblW w:w="8140" w:type="dxa"/>
        <w:jc w:val="center"/>
        <w:tblLayout w:type="autofit"/>
        <w:tblCellMar>
          <w:top w:w="15" w:type="dxa"/>
          <w:left w:w="15" w:type="dxa"/>
          <w:bottom w:w="15" w:type="dxa"/>
          <w:right w:w="15" w:type="dxa"/>
        </w:tblCellMar>
      </w:tblPr>
      <w:tblGrid>
        <w:gridCol w:w="3113"/>
        <w:gridCol w:w="1875"/>
        <w:gridCol w:w="6"/>
        <w:gridCol w:w="1265"/>
        <w:gridCol w:w="1881"/>
      </w:tblGrid>
      <w:tr>
        <w:tblPrEx>
          <w:tblCellMar>
            <w:top w:w="15" w:type="dxa"/>
            <w:left w:w="15" w:type="dxa"/>
            <w:bottom w:w="15" w:type="dxa"/>
            <w:right w:w="15"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第二十条第（一）项</w:t>
            </w:r>
          </w:p>
        </w:tc>
      </w:tr>
      <w:tr>
        <w:tblPrEx>
          <w:tblCellMar>
            <w:top w:w="15" w:type="dxa"/>
            <w:left w:w="15" w:type="dxa"/>
            <w:bottom w:w="15" w:type="dxa"/>
            <w:right w:w="15"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本年新</w:t>
            </w:r>
            <w:r>
              <w:rPr>
                <w:rFonts w:hint="eastAsia" w:ascii="宋体" w:hAnsi="宋体" w:eastAsia="宋体" w:cs="宋体"/>
                <w:color w:val="000000"/>
                <w:sz w:val="20"/>
                <w:szCs w:val="20"/>
              </w:rPr>
              <w:br w:type="textWrapping"/>
            </w:r>
            <w:r>
              <w:rPr>
                <w:rFonts w:ascii="宋体" w:hAnsi="宋体" w:eastAsia="宋体" w:cs="宋体"/>
                <w:color w:val="000000"/>
                <w:sz w:val="20"/>
                <w:szCs w:val="20"/>
              </w:rPr>
              <w:t>制作数量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本年新</w:t>
            </w:r>
            <w:r>
              <w:rPr>
                <w:rFonts w:hint="eastAsia" w:ascii="宋体" w:hAnsi="宋体" w:eastAsia="宋体" w:cs="宋体"/>
                <w:color w:val="000000"/>
                <w:sz w:val="20"/>
                <w:szCs w:val="20"/>
              </w:rPr>
              <w:br w:type="textWrapping"/>
            </w:r>
            <w:r>
              <w:rPr>
                <w:rFonts w:ascii="宋体" w:hAnsi="宋体" w:eastAsia="宋体" w:cs="宋体"/>
                <w:color w:val="000000"/>
                <w:sz w:val="20"/>
                <w:szCs w:val="20"/>
              </w:rPr>
              <w:t>公开数量</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对外公开总数量</w:t>
            </w:r>
          </w:p>
        </w:tc>
      </w:tr>
      <w:tr>
        <w:tblPrEx>
          <w:tblCellMar>
            <w:top w:w="15" w:type="dxa"/>
            <w:left w:w="15" w:type="dxa"/>
            <w:bottom w:w="15" w:type="dxa"/>
            <w:right w:w="15"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规章</w:t>
            </w:r>
          </w:p>
        </w:tc>
        <w:tc>
          <w:tcPr>
            <w:tcW w:w="1875"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127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r>
      <w:tr>
        <w:tblPrEx>
          <w:tblCellMar>
            <w:top w:w="15" w:type="dxa"/>
            <w:left w:w="15" w:type="dxa"/>
            <w:bottom w:w="15" w:type="dxa"/>
            <w:right w:w="15"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规范性文件</w:t>
            </w:r>
          </w:p>
        </w:tc>
        <w:tc>
          <w:tcPr>
            <w:tcW w:w="1875"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1271"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r>
      <w:tr>
        <w:tblPrEx>
          <w:tblCellMar>
            <w:top w:w="15" w:type="dxa"/>
            <w:left w:w="15" w:type="dxa"/>
            <w:bottom w:w="15" w:type="dxa"/>
            <w:right w:w="15"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第二十条第（五）项</w:t>
            </w:r>
          </w:p>
        </w:tc>
      </w:tr>
      <w:tr>
        <w:tblPrEx>
          <w:tblCellMar>
            <w:top w:w="15" w:type="dxa"/>
            <w:left w:w="15" w:type="dxa"/>
            <w:bottom w:w="15" w:type="dxa"/>
            <w:right w:w="15"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本年增/减</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处理决定数量</w:t>
            </w:r>
          </w:p>
        </w:tc>
      </w:tr>
      <w:tr>
        <w:tblPrEx>
          <w:tblCellMar>
            <w:top w:w="15" w:type="dxa"/>
            <w:left w:w="15" w:type="dxa"/>
            <w:bottom w:w="15" w:type="dxa"/>
            <w:right w:w="15"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行政许可</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1265"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lang w:val="en-US" w:eastAsia="zh-CN"/>
              </w:rPr>
              <w:t>0</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r>
      <w:tr>
        <w:tblPrEx>
          <w:tblCellMar>
            <w:top w:w="15" w:type="dxa"/>
            <w:left w:w="15" w:type="dxa"/>
            <w:bottom w:w="15" w:type="dxa"/>
            <w:right w:w="15"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其他对外管理服务事项</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1265"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tabs>
                <w:tab w:val="center" w:pos="524"/>
              </w:tabs>
              <w:adjustRightInd/>
              <w:snapToGrid/>
              <w:spacing w:after="0"/>
              <w:jc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r>
      <w:tr>
        <w:tblPrEx>
          <w:tblCellMar>
            <w:top w:w="15" w:type="dxa"/>
            <w:left w:w="15" w:type="dxa"/>
            <w:bottom w:w="15" w:type="dxa"/>
            <w:right w:w="15"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第二十条第（六）项</w:t>
            </w:r>
          </w:p>
        </w:tc>
      </w:tr>
      <w:tr>
        <w:tblPrEx>
          <w:tblCellMar>
            <w:top w:w="15" w:type="dxa"/>
            <w:left w:w="15" w:type="dxa"/>
            <w:bottom w:w="15" w:type="dxa"/>
            <w:right w:w="15"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信息内容</w:t>
            </w:r>
          </w:p>
        </w:tc>
        <w:tc>
          <w:tcPr>
            <w:tcW w:w="1875" w:type="dxa"/>
            <w:tcBorders>
              <w:top w:val="single" w:color="auto" w:sz="8" w:space="0"/>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本年增/减</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处理决定数量</w:t>
            </w:r>
          </w:p>
        </w:tc>
      </w:tr>
      <w:tr>
        <w:tblPrEx>
          <w:tblCellMar>
            <w:top w:w="15" w:type="dxa"/>
            <w:left w:w="15" w:type="dxa"/>
            <w:bottom w:w="15" w:type="dxa"/>
            <w:right w:w="15"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行政处罚</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rPr>
              <w:t>　</w:t>
            </w:r>
            <w:r>
              <w:rPr>
                <w:rFonts w:hint="eastAsia" w:ascii="宋体" w:hAnsi="宋体" w:eastAsia="宋体" w:cs="宋体"/>
                <w:color w:val="000000"/>
                <w:sz w:val="20"/>
                <w:szCs w:val="20"/>
                <w:lang w:val="en-US" w:eastAsia="zh-CN"/>
              </w:rPr>
              <w:t>0</w:t>
            </w:r>
          </w:p>
        </w:tc>
        <w:tc>
          <w:tcPr>
            <w:tcW w:w="1265"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tabs>
                <w:tab w:val="center" w:pos="524"/>
              </w:tabs>
              <w:adjustRightInd/>
              <w:snapToGrid/>
              <w:spacing w:after="0"/>
              <w:rPr>
                <w:rFonts w:hint="default" w:ascii="宋体" w:hAnsi="宋体" w:eastAsia="宋体" w:cs="宋体"/>
                <w:color w:val="000000"/>
                <w:sz w:val="24"/>
                <w:szCs w:val="24"/>
                <w:lang w:val="en-US" w:eastAsia="zh-CN"/>
              </w:rPr>
            </w:pPr>
            <w:r>
              <w:rPr>
                <w:rFonts w:hint="eastAsia" w:ascii="宋体" w:hAnsi="宋体" w:eastAsia="宋体" w:cs="宋体"/>
                <w:color w:val="000000"/>
                <w:sz w:val="20"/>
                <w:szCs w:val="20"/>
              </w:rPr>
              <w:t>　</w:t>
            </w:r>
            <w:r>
              <w:rPr>
                <w:rFonts w:hint="eastAsia" w:ascii="宋体" w:hAnsi="宋体" w:eastAsia="宋体" w:cs="宋体"/>
                <w:color w:val="000000"/>
                <w:sz w:val="20"/>
                <w:szCs w:val="20"/>
                <w:lang w:val="en-US" w:eastAsia="zh-CN"/>
              </w:rPr>
              <w:t>0</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rPr>
              <w:t>　</w:t>
            </w:r>
            <w:r>
              <w:rPr>
                <w:rFonts w:hint="eastAsia" w:ascii="宋体" w:hAnsi="宋体" w:eastAsia="宋体" w:cs="宋体"/>
                <w:color w:val="000000"/>
                <w:sz w:val="20"/>
                <w:szCs w:val="20"/>
                <w:lang w:val="en-US" w:eastAsia="zh-CN"/>
              </w:rPr>
              <w:t>0</w:t>
            </w:r>
          </w:p>
        </w:tc>
      </w:tr>
      <w:tr>
        <w:tblPrEx>
          <w:tblCellMar>
            <w:top w:w="15" w:type="dxa"/>
            <w:left w:w="15" w:type="dxa"/>
            <w:bottom w:w="15" w:type="dxa"/>
            <w:right w:w="15"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行政强制</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rPr>
              <w:t>　</w:t>
            </w:r>
            <w:r>
              <w:rPr>
                <w:rFonts w:hint="eastAsia" w:ascii="宋体" w:hAnsi="宋体" w:eastAsia="宋体" w:cs="宋体"/>
                <w:color w:val="000000"/>
                <w:sz w:val="20"/>
                <w:szCs w:val="20"/>
                <w:lang w:val="en-US" w:eastAsia="zh-CN"/>
              </w:rPr>
              <w:t>0</w:t>
            </w:r>
          </w:p>
        </w:tc>
        <w:tc>
          <w:tcPr>
            <w:tcW w:w="1265"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rPr>
              <w:t>　</w:t>
            </w:r>
            <w:r>
              <w:rPr>
                <w:rFonts w:hint="eastAsia" w:ascii="宋体" w:hAnsi="宋体" w:eastAsia="宋体" w:cs="宋体"/>
                <w:color w:val="000000"/>
                <w:sz w:val="20"/>
                <w:szCs w:val="20"/>
                <w:lang w:val="en-US" w:eastAsia="zh-CN"/>
              </w:rPr>
              <w:t>0</w:t>
            </w:r>
          </w:p>
        </w:tc>
        <w:tc>
          <w:tcPr>
            <w:tcW w:w="1881" w:type="dxa"/>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rPr>
              <w:t>　</w:t>
            </w:r>
            <w:r>
              <w:rPr>
                <w:rFonts w:hint="eastAsia" w:ascii="宋体" w:hAnsi="宋体" w:eastAsia="宋体" w:cs="宋体"/>
                <w:color w:val="000000"/>
                <w:sz w:val="20"/>
                <w:szCs w:val="20"/>
                <w:lang w:val="en-US" w:eastAsia="zh-CN"/>
              </w:rPr>
              <w:t>0</w:t>
            </w:r>
          </w:p>
        </w:tc>
      </w:tr>
      <w:tr>
        <w:tblPrEx>
          <w:tblCellMar>
            <w:top w:w="15" w:type="dxa"/>
            <w:left w:w="15" w:type="dxa"/>
            <w:bottom w:w="15" w:type="dxa"/>
            <w:right w:w="15"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第二十条第（八）项</w:t>
            </w:r>
          </w:p>
        </w:tc>
      </w:tr>
      <w:tr>
        <w:tblPrEx>
          <w:tblCellMar>
            <w:top w:w="15" w:type="dxa"/>
            <w:left w:w="15" w:type="dxa"/>
            <w:bottom w:w="15" w:type="dxa"/>
            <w:right w:w="15"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信息内容</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本年增/减</w:t>
            </w:r>
          </w:p>
        </w:tc>
      </w:tr>
      <w:tr>
        <w:tblPrEx>
          <w:tblCellMar>
            <w:top w:w="15" w:type="dxa"/>
            <w:left w:w="15" w:type="dxa"/>
            <w:bottom w:w="15" w:type="dxa"/>
            <w:right w:w="15"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行政事业性收费</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0"/>
                <w:szCs w:val="20"/>
                <w:lang w:val="en-US" w:eastAsia="zh-CN"/>
              </w:rPr>
            </w:pPr>
          </w:p>
          <w:p>
            <w:pPr>
              <w:bidi w:val="0"/>
              <w:jc w:val="center"/>
              <w:rPr>
                <w:rFonts w:hint="default" w:ascii="Tahoma" w:hAnsi="Tahoma" w:eastAsia="微软雅黑" w:cstheme="minorBidi"/>
                <w:sz w:val="22"/>
                <w:szCs w:val="22"/>
                <w:lang w:val="en-US" w:eastAsia="zh-CN" w:bidi="ar-SA"/>
              </w:rPr>
            </w:pPr>
            <w:r>
              <w:rPr>
                <w:rFonts w:hint="eastAsia" w:ascii="宋体" w:hAnsi="宋体" w:eastAsia="宋体" w:cs="宋体"/>
                <w:color w:val="000000"/>
                <w:sz w:val="20"/>
                <w:szCs w:val="20"/>
                <w:lang w:val="en-US" w:eastAsia="zh-CN"/>
              </w:rPr>
              <w:t>0</w:t>
            </w:r>
          </w:p>
        </w:tc>
        <w:tc>
          <w:tcPr>
            <w:tcW w:w="3146" w:type="dxa"/>
            <w:gridSpan w:val="2"/>
            <w:tcBorders>
              <w:top w:val="nil"/>
              <w:left w:val="nil"/>
              <w:bottom w:val="single" w:color="auto" w:sz="8" w:space="0"/>
              <w:right w:val="single" w:color="000000"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r>
      <w:tr>
        <w:tblPrEx>
          <w:tblCellMar>
            <w:top w:w="15" w:type="dxa"/>
            <w:left w:w="15" w:type="dxa"/>
            <w:bottom w:w="15" w:type="dxa"/>
            <w:right w:w="15"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第二十条第（九）项</w:t>
            </w:r>
          </w:p>
        </w:tc>
      </w:tr>
      <w:tr>
        <w:tblPrEx>
          <w:tblCellMar>
            <w:top w:w="15" w:type="dxa"/>
            <w:left w:w="15" w:type="dxa"/>
            <w:bottom w:w="15" w:type="dxa"/>
            <w:right w:w="15"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信息内容</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采购项目数量</w:t>
            </w:r>
          </w:p>
        </w:tc>
        <w:tc>
          <w:tcPr>
            <w:tcW w:w="3146" w:type="dxa"/>
            <w:gridSpan w:val="2"/>
            <w:tcBorders>
              <w:top w:val="single" w:color="auto" w:sz="8" w:space="0"/>
              <w:left w:val="nil"/>
              <w:bottom w:val="single" w:color="auto" w:sz="8" w:space="0"/>
              <w:right w:val="single" w:color="000000" w:sz="8" w:space="0"/>
            </w:tcBorders>
            <w:shd w:val="clear" w:color="auto" w:fill="E6F4FF"/>
            <w:noWrap/>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采购总金额</w:t>
            </w:r>
          </w:p>
        </w:tc>
      </w:tr>
      <w:tr>
        <w:tblPrEx>
          <w:tblCellMar>
            <w:top w:w="15" w:type="dxa"/>
            <w:left w:w="15" w:type="dxa"/>
            <w:bottom w:w="15" w:type="dxa"/>
            <w:right w:w="15"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政府集中采购</w:t>
            </w:r>
          </w:p>
        </w:tc>
        <w:tc>
          <w:tcPr>
            <w:tcW w:w="1881" w:type="dxa"/>
            <w:gridSpan w:val="2"/>
            <w:tcBorders>
              <w:top w:val="nil"/>
              <w:left w:val="nil"/>
              <w:bottom w:val="single" w:color="auto" w:sz="8" w:space="0"/>
              <w:right w:val="single" w:color="auto"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c>
          <w:tcPr>
            <w:tcW w:w="3146" w:type="dxa"/>
            <w:gridSpan w:val="2"/>
            <w:tcBorders>
              <w:top w:val="nil"/>
              <w:left w:val="nil"/>
              <w:bottom w:val="single" w:color="auto" w:sz="8" w:space="0"/>
              <w:right w:val="single" w:color="000000" w:sz="8" w:space="0"/>
            </w:tcBorders>
            <w:shd w:val="clear" w:color="auto" w:fill="E6F4FF"/>
            <w:noWrap/>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0"/>
                <w:szCs w:val="20"/>
                <w:lang w:val="en-US" w:eastAsia="zh-CN"/>
              </w:rPr>
              <w:t>0</w:t>
            </w:r>
          </w:p>
        </w:tc>
      </w:tr>
    </w:tbl>
    <w:p>
      <w:pPr>
        <w:adjustRightInd/>
        <w:snapToGrid/>
        <w:spacing w:after="0"/>
        <w:ind w:firstLine="480"/>
        <w:jc w:val="both"/>
        <w:rPr>
          <w:rFonts w:ascii="宋体" w:hAnsi="宋体" w:eastAsia="宋体" w:cs="宋体"/>
          <w:color w:val="000000"/>
          <w:sz w:val="24"/>
          <w:szCs w:val="24"/>
        </w:rPr>
      </w:pPr>
    </w:p>
    <w:p>
      <w:pPr>
        <w:adjustRightInd/>
        <w:snapToGrid/>
        <w:spacing w:after="0"/>
        <w:ind w:firstLine="480"/>
        <w:jc w:val="both"/>
        <w:rPr>
          <w:rFonts w:ascii="宋体" w:hAnsi="宋体" w:eastAsia="宋体" w:cs="宋体"/>
          <w:color w:val="000000"/>
          <w:sz w:val="24"/>
          <w:szCs w:val="24"/>
        </w:rPr>
      </w:pPr>
      <w:r>
        <w:rPr>
          <w:rFonts w:hint="eastAsia" w:ascii="黑体" w:hAnsi="黑体" w:eastAsia="黑体" w:cs="黑体"/>
          <w:b w:val="0"/>
          <w:bCs w:val="0"/>
          <w:color w:val="000000"/>
          <w:sz w:val="32"/>
          <w:szCs w:val="32"/>
        </w:rPr>
        <w:t>三、收到和处理政府信息公开申请情况</w:t>
      </w:r>
      <w:r>
        <w:rPr>
          <w:rFonts w:hint="eastAsia" w:ascii="宋体" w:hAnsi="宋体" w:eastAsia="宋体" w:cs="宋体"/>
          <w:b/>
          <w:bCs/>
          <w:color w:val="000000"/>
          <w:sz w:val="24"/>
          <w:szCs w:val="24"/>
        </w:rPr>
        <w:br w:type="textWrapping"/>
      </w:r>
      <w:r>
        <w:rPr>
          <w:rFonts w:hint="eastAsia" w:ascii="宋体" w:hAnsi="宋体" w:eastAsia="宋体" w:cs="宋体"/>
          <w:b/>
          <w:bCs/>
          <w:color w:val="000000"/>
          <w:sz w:val="24"/>
          <w:szCs w:val="24"/>
        </w:rPr>
        <w:br w:type="textWrapping"/>
      </w:r>
    </w:p>
    <w:tbl>
      <w:tblPr>
        <w:tblStyle w:val="3"/>
        <w:tblW w:w="9071" w:type="dxa"/>
        <w:jc w:val="center"/>
        <w:tblLayout w:type="autofit"/>
        <w:tblCellMar>
          <w:top w:w="15" w:type="dxa"/>
          <w:left w:w="15" w:type="dxa"/>
          <w:bottom w:w="15" w:type="dxa"/>
          <w:right w:w="15" w:type="dxa"/>
        </w:tblCellMar>
      </w:tblPr>
      <w:tblGrid>
        <w:gridCol w:w="616"/>
        <w:gridCol w:w="854"/>
        <w:gridCol w:w="2086"/>
        <w:gridCol w:w="813"/>
        <w:gridCol w:w="755"/>
        <w:gridCol w:w="755"/>
        <w:gridCol w:w="813"/>
        <w:gridCol w:w="973"/>
        <w:gridCol w:w="711"/>
        <w:gridCol w:w="695"/>
      </w:tblGrid>
      <w:tr>
        <w:tblPrEx>
          <w:tblCellMar>
            <w:top w:w="15" w:type="dxa"/>
            <w:left w:w="15" w:type="dxa"/>
            <w:bottom w:w="15" w:type="dxa"/>
            <w:right w:w="15"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申请人情况</w:t>
            </w:r>
          </w:p>
        </w:tc>
      </w:tr>
      <w:tr>
        <w:tblPrEx>
          <w:tblCellMar>
            <w:top w:w="15" w:type="dxa"/>
            <w:left w:w="15" w:type="dxa"/>
            <w:bottom w:w="15" w:type="dxa"/>
            <w:right w:w="15"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825"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自然人</w:t>
            </w:r>
          </w:p>
        </w:tc>
        <w:tc>
          <w:tcPr>
            <w:tcW w:w="4065"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总计</w:t>
            </w:r>
          </w:p>
        </w:tc>
      </w:tr>
      <w:tr>
        <w:tblPrEx>
          <w:tblCellMar>
            <w:top w:w="15" w:type="dxa"/>
            <w:left w:w="15" w:type="dxa"/>
            <w:bottom w:w="15" w:type="dxa"/>
            <w:right w:w="15"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商业企业</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科研机构</w:t>
            </w:r>
          </w:p>
        </w:tc>
        <w:tc>
          <w:tcPr>
            <w:tcW w:w="82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社会公益组织</w:t>
            </w:r>
          </w:p>
        </w:tc>
        <w:tc>
          <w:tcPr>
            <w:tcW w:w="990"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法律服务机构</w:t>
            </w:r>
          </w:p>
        </w:tc>
        <w:tc>
          <w:tcPr>
            <w:tcW w:w="720"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其他</w:t>
            </w:r>
          </w:p>
        </w:tc>
        <w:tc>
          <w:tcPr>
            <w:tcW w:w="0" w:type="auto"/>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r>
      <w:tr>
        <w:tblPrEx>
          <w:tblCellMar>
            <w:top w:w="15" w:type="dxa"/>
            <w:left w:w="15" w:type="dxa"/>
            <w:bottom w:w="15" w:type="dxa"/>
            <w:right w:w="15"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一、本年新收政府信息公开申请数量</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二、上年结转政府信息公开申请数量</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三、本年度办理结果</w:t>
            </w:r>
          </w:p>
        </w:tc>
        <w:tc>
          <w:tcPr>
            <w:tcW w:w="2985"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（一）予以公开</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985"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855"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（三）不予公开</w:t>
            </w: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1.属于国家秘密</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2.其他法律行政法规禁止公开</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3.危及“三安全一稳定”</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4.保护第三方合法权益</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5.属于三类内部事务信息</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6.属于四类过程性信息</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7.属于行政执法案卷</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8.属于行政查询事项</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855"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（四）无法提供</w:t>
            </w: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1.本机关不掌握相关政府信息</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2.没有现成信息需要另行制作</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3.补正后申请内容仍不明确</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855"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（五）不予处理</w:t>
            </w: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1.信访举报投诉类申请</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2.重复申请</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3.要求提供公开出版物</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4.无正当理由大量反复申请</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13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5.要求行政机关确认或重新出具已获取信息</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985"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（六）其他处理</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2985" w:type="dxa"/>
            <w:gridSpan w:val="2"/>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楷体" w:hAnsi="楷体" w:eastAsia="楷体" w:cs="宋体"/>
                <w:color w:val="000000"/>
                <w:sz w:val="20"/>
                <w:szCs w:val="20"/>
              </w:rPr>
              <w:t>（七）总计</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r>
        <w:tblPrEx>
          <w:tblCellMar>
            <w:top w:w="15" w:type="dxa"/>
            <w:left w:w="15" w:type="dxa"/>
            <w:bottom w:w="15" w:type="dxa"/>
            <w:right w:w="15"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rPr>
                <w:rFonts w:ascii="宋体" w:hAnsi="宋体" w:eastAsia="宋体" w:cs="宋体"/>
                <w:color w:val="000000"/>
                <w:sz w:val="24"/>
                <w:szCs w:val="24"/>
              </w:rPr>
            </w:pPr>
            <w:r>
              <w:rPr>
                <w:rFonts w:hint="eastAsia" w:ascii="宋体" w:hAnsi="宋体" w:eastAsia="宋体" w:cs="宋体"/>
                <w:color w:val="000000"/>
                <w:sz w:val="20"/>
                <w:szCs w:val="20"/>
              </w:rPr>
              <w:t>四、结转下年度继续办理</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6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82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99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2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c>
          <w:tcPr>
            <w:tcW w:w="702"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p>
        </w:tc>
      </w:tr>
    </w:tbl>
    <w:p>
      <w:pPr>
        <w:adjustRightInd/>
        <w:snapToGrid/>
        <w:spacing w:after="0"/>
        <w:ind w:firstLine="480"/>
        <w:jc w:val="both"/>
        <w:rPr>
          <w:rFonts w:ascii="宋体" w:hAnsi="宋体" w:eastAsia="宋体" w:cs="宋体"/>
          <w:color w:val="000000"/>
          <w:sz w:val="24"/>
          <w:szCs w:val="24"/>
        </w:rPr>
      </w:pPr>
    </w:p>
    <w:p>
      <w:pPr>
        <w:keepNext w:val="0"/>
        <w:keepLines w:val="0"/>
        <w:pageBreakBefore w:val="0"/>
        <w:widowControl/>
        <w:kinsoku/>
        <w:wordWrap/>
        <w:overflowPunct/>
        <w:topLinePunct w:val="0"/>
        <w:autoSpaceDE/>
        <w:autoSpaceDN/>
        <w:bidi w:val="0"/>
        <w:adjustRightInd/>
        <w:snapToGrid/>
        <w:spacing w:after="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四、政府信息公开行政复议、行政诉讼情况</w:t>
      </w:r>
    </w:p>
    <w:p>
      <w:pPr>
        <w:adjustRightInd/>
        <w:snapToGrid/>
        <w:spacing w:after="0"/>
        <w:ind w:firstLine="480"/>
        <w:jc w:val="both"/>
        <w:rPr>
          <w:rFonts w:ascii="宋体" w:hAnsi="宋体" w:eastAsia="宋体" w:cs="宋体"/>
          <w:color w:val="000000"/>
          <w:sz w:val="24"/>
          <w:szCs w:val="24"/>
        </w:rPr>
      </w:pPr>
    </w:p>
    <w:tbl>
      <w:tblPr>
        <w:tblStyle w:val="3"/>
        <w:tblW w:w="9071" w:type="dxa"/>
        <w:jc w:val="center"/>
        <w:tblLayout w:type="autofit"/>
        <w:tblCellMar>
          <w:top w:w="15" w:type="dxa"/>
          <w:left w:w="15" w:type="dxa"/>
          <w:bottom w:w="15" w:type="dxa"/>
          <w:right w:w="15"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15" w:type="dxa"/>
            <w:left w:w="15" w:type="dxa"/>
            <w:bottom w:w="15" w:type="dxa"/>
            <w:right w:w="15"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行政诉讼</w:t>
            </w:r>
          </w:p>
        </w:tc>
      </w:tr>
      <w:tr>
        <w:tblPrEx>
          <w:tblCellMar>
            <w:top w:w="15" w:type="dxa"/>
            <w:left w:w="15" w:type="dxa"/>
            <w:bottom w:w="15" w:type="dxa"/>
            <w:right w:w="15"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结果维持</w:t>
            </w:r>
          </w:p>
        </w:tc>
        <w:tc>
          <w:tcPr>
            <w:tcW w:w="604" w:type="dxa"/>
            <w:vMerge w:val="restart"/>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尚未审结</w:t>
            </w:r>
          </w:p>
        </w:tc>
        <w:tc>
          <w:tcPr>
            <w:tcW w:w="658" w:type="dxa"/>
            <w:vMerge w:val="restart"/>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总计</w:t>
            </w:r>
          </w:p>
        </w:tc>
        <w:tc>
          <w:tcPr>
            <w:tcW w:w="2970"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复议后起诉</w:t>
            </w:r>
          </w:p>
        </w:tc>
      </w:tr>
      <w:tr>
        <w:tblPrEx>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nil"/>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adjustRightInd/>
              <w:snapToGrid/>
              <w:spacing w:after="0"/>
              <w:rPr>
                <w:rFonts w:ascii="宋体" w:hAnsi="宋体" w:eastAsia="宋体" w:cs="宋体"/>
                <w:color w:val="000000"/>
                <w:sz w:val="24"/>
                <w:szCs w:val="24"/>
              </w:rPr>
            </w:pPr>
          </w:p>
        </w:tc>
        <w:tc>
          <w:tcPr>
            <w:tcW w:w="55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结果维持</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其他结果</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尚未审结</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总计</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其他结果</w:t>
            </w:r>
          </w:p>
        </w:tc>
        <w:tc>
          <w:tcPr>
            <w:tcW w:w="606"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宋体" w:hAnsi="宋体" w:eastAsia="宋体" w:cs="宋体"/>
                <w:color w:val="000000"/>
                <w:sz w:val="20"/>
                <w:szCs w:val="20"/>
              </w:rPr>
              <w:t>总计</w:t>
            </w:r>
          </w:p>
        </w:tc>
      </w:tr>
      <w:tr>
        <w:tblPrEx>
          <w:tblCellMar>
            <w:top w:w="15" w:type="dxa"/>
            <w:left w:w="15" w:type="dxa"/>
            <w:bottom w:w="15" w:type="dxa"/>
            <w:right w:w="15"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r>
              <w:rPr>
                <w:rFonts w:ascii="Calibri" w:hAnsi="Calibri" w:eastAsia="宋体" w:cs="宋体"/>
                <w:color w:val="000000"/>
                <w:sz w:val="20"/>
                <w:szCs w:val="20"/>
              </w:rPr>
              <w:t> </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ascii="Calibri" w:hAnsi="Calibri" w:eastAsia="宋体" w:cs="宋体"/>
                <w:color w:val="000000"/>
                <w:sz w:val="20"/>
                <w:szCs w:val="20"/>
              </w:rPr>
              <w:t> </w:t>
            </w:r>
            <w:r>
              <w:rPr>
                <w:rFonts w:hint="eastAsia" w:ascii="Calibri" w:hAnsi="Calibri" w:eastAsia="宋体" w:cs="宋体"/>
                <w:color w:val="000000"/>
                <w:sz w:val="20"/>
                <w:szCs w:val="20"/>
                <w:lang w:val="en-US" w:eastAsia="zh-CN"/>
              </w:rPr>
              <w:t>0</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ascii="Calibri" w:hAnsi="Calibri" w:eastAsia="宋体" w:cs="宋体"/>
                <w:color w:val="000000"/>
                <w:sz w:val="20"/>
                <w:szCs w:val="20"/>
              </w:rPr>
              <w:t> </w:t>
            </w:r>
            <w:r>
              <w:rPr>
                <w:rFonts w:hint="eastAsia" w:ascii="Calibri" w:hAnsi="Calibri" w:eastAsia="宋体" w:cs="宋体"/>
                <w:color w:val="000000"/>
                <w:sz w:val="20"/>
                <w:szCs w:val="20"/>
                <w:lang w:val="en-US" w:eastAsia="zh-CN"/>
              </w:rPr>
              <w:t>0</w:t>
            </w:r>
          </w:p>
        </w:tc>
        <w:tc>
          <w:tcPr>
            <w:tcW w:w="604"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宋体" w:hAnsi="宋体" w:eastAsia="宋体" w:cs="宋体"/>
                <w:color w:val="000000"/>
                <w:sz w:val="24"/>
                <w:szCs w:val="24"/>
                <w:lang w:val="en-US" w:eastAsia="zh-CN"/>
              </w:rPr>
            </w:pPr>
            <w:r>
              <w:rPr>
                <w:rFonts w:ascii="Calibri" w:hAnsi="Calibri" w:eastAsia="宋体" w:cs="宋体"/>
                <w:color w:val="000000"/>
                <w:sz w:val="20"/>
                <w:szCs w:val="20"/>
              </w:rPr>
              <w:t> </w:t>
            </w:r>
            <w:r>
              <w:rPr>
                <w:rFonts w:hint="eastAsia" w:ascii="Calibri" w:hAnsi="Calibri" w:eastAsia="宋体" w:cs="宋体"/>
                <w:color w:val="000000"/>
                <w:sz w:val="20"/>
                <w:szCs w:val="20"/>
                <w:lang w:val="en-US" w:eastAsia="zh-CN"/>
              </w:rPr>
              <w:t>0</w:t>
            </w:r>
          </w:p>
        </w:tc>
        <w:tc>
          <w:tcPr>
            <w:tcW w:w="658"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ascii="宋体" w:hAnsi="宋体" w:eastAsia="宋体" w:cs="宋体"/>
                <w:color w:val="000000"/>
                <w:sz w:val="24"/>
                <w:szCs w:val="24"/>
              </w:rPr>
            </w:pPr>
            <w:r>
              <w:rPr>
                <w:rFonts w:hint="eastAsia" w:ascii="Calibri" w:hAnsi="Calibri" w:eastAsia="宋体" w:cs="宋体"/>
                <w:color w:val="000000"/>
                <w:sz w:val="20"/>
                <w:szCs w:val="20"/>
                <w:lang w:val="en-US" w:eastAsia="zh-CN"/>
              </w:rPr>
              <w:t>0</w:t>
            </w:r>
            <w:r>
              <w:rPr>
                <w:rFonts w:ascii="Calibri" w:hAnsi="Calibri" w:eastAsia="宋体" w:cs="宋体"/>
                <w:color w:val="000000"/>
                <w:sz w:val="20"/>
                <w:szCs w:val="20"/>
              </w:rPr>
              <w:t> </w:t>
            </w:r>
          </w:p>
        </w:tc>
        <w:tc>
          <w:tcPr>
            <w:tcW w:w="550"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 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 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 0</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0 </w:t>
            </w:r>
          </w:p>
        </w:tc>
        <w:tc>
          <w:tcPr>
            <w:tcW w:w="605"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0 </w:t>
            </w:r>
          </w:p>
        </w:tc>
        <w:tc>
          <w:tcPr>
            <w:tcW w:w="60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 0</w:t>
            </w:r>
          </w:p>
        </w:tc>
        <w:tc>
          <w:tcPr>
            <w:tcW w:w="606" w:type="dxa"/>
            <w:tcBorders>
              <w:top w:val="nil"/>
              <w:left w:val="nil"/>
              <w:bottom w:val="single" w:color="auto" w:sz="8" w:space="0"/>
              <w:right w:val="single" w:color="auto" w:sz="8" w:space="0"/>
            </w:tcBorders>
            <w:shd w:val="clear" w:color="auto" w:fill="E6F4FF"/>
            <w:tcMar>
              <w:top w:w="0" w:type="dxa"/>
              <w:left w:w="108" w:type="dxa"/>
              <w:bottom w:w="0" w:type="dxa"/>
              <w:right w:w="108" w:type="dxa"/>
            </w:tcMar>
            <w:vAlign w:val="center"/>
          </w:tcPr>
          <w:p>
            <w:pPr>
              <w:adjustRightInd/>
              <w:snapToGrid/>
              <w:spacing w:after="0"/>
              <w:jc w:val="center"/>
              <w:rPr>
                <w:rFonts w:hint="eastAsia" w:ascii="Calibri" w:hAnsi="Calibri" w:eastAsia="宋体" w:cs="宋体"/>
                <w:color w:val="000000"/>
                <w:sz w:val="20"/>
                <w:szCs w:val="20"/>
                <w:lang w:val="en-US" w:eastAsia="zh-CN"/>
              </w:rPr>
            </w:pPr>
            <w:r>
              <w:rPr>
                <w:rFonts w:hint="eastAsia" w:ascii="Calibri" w:hAnsi="Calibri" w:eastAsia="宋体" w:cs="宋体"/>
                <w:color w:val="000000"/>
                <w:sz w:val="20"/>
                <w:szCs w:val="20"/>
                <w:lang w:val="en-US" w:eastAsia="zh-CN"/>
              </w:rPr>
              <w:t>0</w:t>
            </w:r>
          </w:p>
        </w:tc>
      </w:tr>
    </w:tbl>
    <w:p>
      <w:pPr>
        <w:keepNext w:val="0"/>
        <w:keepLines w:val="0"/>
        <w:pageBreakBefore w:val="0"/>
        <w:widowControl/>
        <w:kinsoku/>
        <w:wordWrap/>
        <w:overflowPunct/>
        <w:topLinePunct w:val="0"/>
        <w:autoSpaceDE/>
        <w:autoSpaceDN/>
        <w:bidi w:val="0"/>
        <w:adjustRightInd/>
        <w:snapToGrid/>
        <w:spacing w:after="0"/>
        <w:ind w:firstLine="640" w:firstLineChars="20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五、存在的主要问题及改进情况</w:t>
      </w:r>
    </w:p>
    <w:p>
      <w:pPr>
        <w:keepNext w:val="0"/>
        <w:keepLines w:val="0"/>
        <w:pageBreakBefore w:val="0"/>
        <w:widowControl/>
        <w:tabs>
          <w:tab w:val="left" w:pos="1416"/>
        </w:tabs>
        <w:kinsoku/>
        <w:wordWrap/>
        <w:overflowPunct/>
        <w:topLinePunct w:val="0"/>
        <w:autoSpaceDE/>
        <w:autoSpaceDN/>
        <w:bidi w:val="0"/>
        <w:adjustRightInd/>
        <w:snapToGrid/>
        <w:spacing w:after="0"/>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eastAsia="zh-CN"/>
        </w:rPr>
        <w:t>（一）</w:t>
      </w:r>
      <w:r>
        <w:rPr>
          <w:rFonts w:hint="eastAsia" w:ascii="仿宋_GB2312" w:hAnsi="仿宋_GB2312" w:eastAsia="仿宋_GB2312" w:cs="仿宋_GB2312"/>
          <w:b w:val="0"/>
          <w:bCs w:val="0"/>
          <w:color w:val="000000"/>
          <w:sz w:val="32"/>
          <w:szCs w:val="32"/>
          <w:lang w:eastAsia="zh-CN"/>
        </w:rPr>
        <w:t>存在的主要问题有：一是部分干部职工对信息公开工作还不够熟悉和重视，对相关的规定还不够清楚，各科室人员信息公开工作意识和工作水平还有待加强。二是网络安全保护水平还不够高，</w:t>
      </w:r>
      <w:r>
        <w:rPr>
          <w:rFonts w:hint="eastAsia" w:ascii="仿宋_GB2312" w:hAnsi="仿宋_GB2312" w:eastAsia="仿宋_GB2312" w:cs="仿宋_GB2312"/>
          <w:b w:val="0"/>
          <w:bCs w:val="0"/>
          <w:color w:val="000000"/>
          <w:sz w:val="32"/>
          <w:szCs w:val="32"/>
          <w:lang w:val="en-US" w:eastAsia="zh-CN"/>
        </w:rPr>
        <w:t>网站信息安全运行的制度机制还未健全，存在重网站应用轻维护的现象。三是信息公开的方式还不够丰富，信息更新还不够及时。</w:t>
      </w:r>
    </w:p>
    <w:p>
      <w:pPr>
        <w:keepNext w:val="0"/>
        <w:keepLines w:val="0"/>
        <w:pageBreakBefore w:val="0"/>
        <w:widowControl/>
        <w:tabs>
          <w:tab w:val="left" w:pos="1416"/>
        </w:tabs>
        <w:kinsoku/>
        <w:wordWrap/>
        <w:overflowPunct/>
        <w:topLinePunct w:val="0"/>
        <w:autoSpaceDE/>
        <w:autoSpaceDN/>
        <w:bidi w:val="0"/>
        <w:adjustRightInd/>
        <w:snapToGrid/>
        <w:spacing w:after="0"/>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楷体_GB2312" w:hAnsi="楷体_GB2312" w:eastAsia="楷体_GB2312" w:cs="楷体_GB2312"/>
          <w:b w:val="0"/>
          <w:bCs w:val="0"/>
          <w:color w:val="000000"/>
          <w:sz w:val="32"/>
          <w:szCs w:val="32"/>
          <w:lang w:val="en-US" w:eastAsia="zh-CN"/>
        </w:rPr>
        <w:t>（二）</w:t>
      </w:r>
      <w:r>
        <w:rPr>
          <w:rFonts w:hint="eastAsia" w:ascii="仿宋_GB2312" w:hAnsi="仿宋_GB2312" w:eastAsia="仿宋_GB2312" w:cs="仿宋_GB2312"/>
          <w:b w:val="0"/>
          <w:bCs w:val="0"/>
          <w:color w:val="000000"/>
          <w:sz w:val="32"/>
          <w:szCs w:val="32"/>
          <w:lang w:val="en-US" w:eastAsia="zh-CN"/>
        </w:rPr>
        <w:t>问题改进：一是加强政务信息公开工作宣传培训力度。深入学习贯彻《中华人民共和国政府信息公开条例》等文件精神，及时传达学习上级文件和部署精神，积极参加有关单位组织的培训会，进一步完善信息公开制度，不断提高相关工作人员做好政务信息公开工作的能力。二是切实强化网络信息安全制度的落实工作，进一步完善信息安全制度，以严格执行制度为根本，加强对安全制度的执行。 加大对信息安全建设投入，严格落实有关部门的工作部署， 创新网络信息安全工作机制，提高信息安全工作的运行效率，努力适应新形势下网络安全工作的要求，提高我社网络安全保障能力和防护水平。三是做好信息公开工作计划，强化各科室协调，优化信息公开的方式，围绕推进“五型政府”建设、深化供销合作社综合改革等工作，深入挖掘工作情况，丰富信息内容。进一步强化对各科室信息公开工作的考核和监督，不断提升干部职工工作积极性，推动政务信息公开工作规范化、及时化。</w:t>
      </w:r>
    </w:p>
    <w:p>
      <w:pPr>
        <w:keepNext w:val="0"/>
        <w:keepLines w:val="0"/>
        <w:pageBreakBefore w:val="0"/>
        <w:widowControl/>
        <w:kinsoku/>
        <w:wordWrap/>
        <w:overflowPunct/>
        <w:topLinePunct w:val="0"/>
        <w:autoSpaceDE/>
        <w:autoSpaceDN/>
        <w:bidi w:val="0"/>
        <w:adjustRightInd/>
        <w:snapToGrid/>
        <w:spacing w:after="0"/>
        <w:ind w:firstLine="640" w:firstLineChars="20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六、其他需要报告的事项</w:t>
      </w:r>
    </w:p>
    <w:p>
      <w:pPr>
        <w:keepNext w:val="0"/>
        <w:keepLines w:val="0"/>
        <w:pageBreakBefore w:val="0"/>
        <w:widowControl/>
        <w:kinsoku/>
        <w:wordWrap/>
        <w:overflowPunct/>
        <w:topLinePunct w:val="0"/>
        <w:autoSpaceDE/>
        <w:autoSpaceDN/>
        <w:bidi w:val="0"/>
        <w:spacing w:line="22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rPr>
        <w:t>无其他报告的事项。</w:t>
      </w:r>
    </w:p>
    <w:p>
      <w:pPr>
        <w:keepNext w:val="0"/>
        <w:keepLines w:val="0"/>
        <w:pageBreakBefore w:val="0"/>
        <w:widowControl/>
        <w:kinsoku/>
        <w:wordWrap/>
        <w:overflowPunct/>
        <w:topLinePunct w:val="0"/>
        <w:autoSpaceDE/>
        <w:autoSpaceDN/>
        <w:bidi w:val="0"/>
        <w:spacing w:line="220" w:lineRule="atLeast"/>
        <w:ind w:firstLine="440" w:firstLineChars="200"/>
        <w:textAlignment w:val="auto"/>
      </w:pPr>
    </w:p>
    <w:bookmarkEnd w:id="0"/>
    <w:p>
      <w:pPr>
        <w:keepNext w:val="0"/>
        <w:keepLines w:val="0"/>
        <w:pageBreakBefore w:val="0"/>
        <w:widowControl/>
        <w:kinsoku/>
        <w:wordWrap/>
        <w:overflowPunct/>
        <w:topLinePunct w:val="0"/>
        <w:autoSpaceDE/>
        <w:autoSpaceDN/>
        <w:bidi w:val="0"/>
        <w:ind w:firstLine="440" w:firstLineChars="200"/>
        <w:textAlignment w:val="auto"/>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02B2A"/>
    <w:rsid w:val="048E0E01"/>
    <w:rsid w:val="0607682B"/>
    <w:rsid w:val="069B6B16"/>
    <w:rsid w:val="2DE02B2A"/>
    <w:rsid w:val="31E6605B"/>
    <w:rsid w:val="39034B13"/>
    <w:rsid w:val="58612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333333"/>
      <w:u w:val="none"/>
    </w:rPr>
  </w:style>
  <w:style w:type="character" w:styleId="7">
    <w:name w:val="Emphasis"/>
    <w:basedOn w:val="4"/>
    <w:qFormat/>
    <w:uiPriority w:val="0"/>
    <w:rPr>
      <w:i/>
    </w:rPr>
  </w:style>
  <w:style w:type="character" w:styleId="8">
    <w:name w:val="Hyperlink"/>
    <w:basedOn w:val="4"/>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2020-01-19T03:33:00Z</dcterms:created>
  <dc:creator>sky</dc:creator>
  <cp:lastModifiedBy>sky</cp:lastModifiedBy>
  <cp:lastPrinted>2020-01-22T01:25:00Z</cp:lastPrinted>
  <dcterms:modified xsi:type="dcterms:W3CDTF">2020-01-22T09:50:05Z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